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352DCDFB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C171E4">
              <w:t xml:space="preserve">IALA </w:t>
            </w:r>
            <w:r w:rsidR="008A6A33">
              <w:t>ARM</w:t>
            </w:r>
            <w:r w:rsidR="00C171E4">
              <w:t xml:space="preserve"> Committee</w:t>
            </w:r>
          </w:p>
        </w:tc>
        <w:tc>
          <w:tcPr>
            <w:tcW w:w="5461" w:type="dxa"/>
          </w:tcPr>
          <w:p w14:paraId="2FE75DED" w14:textId="77777777" w:rsidR="000348ED" w:rsidRPr="00AA2626" w:rsidRDefault="001A654A" w:rsidP="008F4DC3">
            <w:pPr>
              <w:jc w:val="right"/>
              <w:rPr>
                <w:highlight w:val="yellow"/>
              </w:rPr>
            </w:pPr>
            <w:r w:rsidRPr="00AA2626">
              <w:rPr>
                <w:highlight w:val="yellow"/>
              </w:rPr>
              <w:t xml:space="preserve">### </w:t>
            </w:r>
            <w:r w:rsidR="005D05AC" w:rsidRPr="00AA2626">
              <w:rPr>
                <w:highlight w:val="yellow"/>
              </w:rPr>
              <w:t>#</w:t>
            </w:r>
            <w:r w:rsidR="005D05AC" w:rsidRPr="00AA2626">
              <w:t>/output/</w:t>
            </w:r>
            <w:r w:rsidR="005D05AC" w:rsidRPr="00AA2626">
              <w:rPr>
                <w:highlight w:val="yellow"/>
              </w:rPr>
              <w:t>#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C8E90C5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EF2C4C">
              <w:rPr>
                <w:rFonts w:hint="eastAsia"/>
                <w:lang w:eastAsia="ko-KR"/>
              </w:rPr>
              <w:t>P</w:t>
            </w:r>
            <w:r w:rsidR="00EF2C4C">
              <w:rPr>
                <w:lang w:eastAsia="ko-KR"/>
              </w:rPr>
              <w:t>AP</w:t>
            </w:r>
          </w:p>
        </w:tc>
        <w:tc>
          <w:tcPr>
            <w:tcW w:w="5461" w:type="dxa"/>
          </w:tcPr>
          <w:p w14:paraId="2FE75DF0" w14:textId="71EF1361" w:rsidR="000348ED" w:rsidRPr="00AA2626" w:rsidRDefault="005D05AC" w:rsidP="008F4DC3">
            <w:pPr>
              <w:jc w:val="right"/>
            </w:pPr>
            <w:r w:rsidRPr="00AA2626">
              <w:rPr>
                <w:highlight w:val="yellow"/>
              </w:rPr>
              <w:t>dd Month</w:t>
            </w:r>
            <w:r w:rsidRPr="00AA2626">
              <w:t xml:space="preserve"> 20</w:t>
            </w:r>
            <w:r w:rsidR="002909CD">
              <w:t>2</w:t>
            </w:r>
            <w:r w:rsidRPr="00AA2626">
              <w:rPr>
                <w:highlight w:val="yellow"/>
              </w:rPr>
              <w:t>#</w:t>
            </w:r>
          </w:p>
        </w:tc>
      </w:tr>
    </w:tbl>
    <w:p w14:paraId="2FE75DF2" w14:textId="77777777" w:rsidR="000348ED" w:rsidRPr="00AA2626" w:rsidRDefault="00AA2626" w:rsidP="002B0236">
      <w:pPr>
        <w:pStyle w:val="Titel"/>
      </w:pPr>
      <w:r>
        <w:t>LIAISON NOTE</w:t>
      </w:r>
    </w:p>
    <w:p w14:paraId="2FE75DF3" w14:textId="6570E8EE" w:rsidR="000348ED" w:rsidRDefault="001A09FF" w:rsidP="002B0236">
      <w:pPr>
        <w:pStyle w:val="Titel"/>
      </w:pPr>
      <w:r w:rsidRPr="00AC6C6E">
        <w:rPr>
          <w:rFonts w:ascii="Arial" w:hAnsi="Arial"/>
          <w:lang w:val="en-US"/>
        </w:rPr>
        <w:t>Roadmap for the S-</w:t>
      </w:r>
      <w:r>
        <w:rPr>
          <w:rFonts w:ascii="Arial" w:hAnsi="Arial"/>
          <w:lang w:val="en-US"/>
        </w:rPr>
        <w:t>2</w:t>
      </w:r>
      <w:r w:rsidRPr="00AC6C6E">
        <w:rPr>
          <w:rFonts w:ascii="Arial" w:hAnsi="Arial"/>
          <w:lang w:val="en-US"/>
        </w:rPr>
        <w:t>00 Implementation Decade</w:t>
      </w:r>
    </w:p>
    <w:p w14:paraId="02F8F856" w14:textId="77777777" w:rsidR="00300FC7" w:rsidRPr="00300FC7" w:rsidRDefault="00300FC7" w:rsidP="002B0236">
      <w:pPr>
        <w:pStyle w:val="Titel"/>
        <w:rPr>
          <w:sz w:val="12"/>
        </w:rPr>
      </w:pPr>
    </w:p>
    <w:p w14:paraId="2FE75DF4" w14:textId="1630A156" w:rsidR="0064435F" w:rsidRPr="000266E0" w:rsidRDefault="003E6A0D" w:rsidP="002B0236">
      <w:pPr>
        <w:pStyle w:val="Kop1"/>
      </w:pPr>
      <w:r>
        <w:t>Background</w:t>
      </w:r>
    </w:p>
    <w:p w14:paraId="6A4A2052" w14:textId="12B220CF" w:rsidR="003E6A0D" w:rsidRDefault="2AB99495" w:rsidP="00A66BC8">
      <w:pPr>
        <w:pStyle w:val="Plattetekst"/>
        <w:rPr>
          <w:rFonts w:eastAsia="Malgun Gothic"/>
          <w:lang w:eastAsia="ko-KR"/>
        </w:rPr>
      </w:pPr>
      <w:bookmarkStart w:id="0" w:name="_Hlk98769615"/>
      <w:r w:rsidRPr="2AB99495">
        <w:rPr>
          <w:rFonts w:eastAsia="Malgun Gothic"/>
          <w:lang w:eastAsia="ko-KR"/>
        </w:rPr>
        <w:t xml:space="preserve">The ARM committee has an assigned task to develop an S-200 Implementation Plan similar to the S-100 Implementation Strategy and/or Roadmap, offering a transition plan aiming </w:t>
      </w:r>
      <w:r w:rsidR="000D4740">
        <w:rPr>
          <w:rFonts w:eastAsia="Malgun Gothic"/>
          <w:lang w:eastAsia="ko-KR"/>
        </w:rPr>
        <w:t>at</w:t>
      </w:r>
      <w:r w:rsidRPr="2AB99495">
        <w:rPr>
          <w:rFonts w:eastAsia="Malgun Gothic"/>
          <w:lang w:eastAsia="ko-KR"/>
        </w:rPr>
        <w:t xml:space="preserve"> the creation, adoption, and delivery of S-200 products and services.</w:t>
      </w:r>
    </w:p>
    <w:p w14:paraId="68961AA3" w14:textId="41A74456" w:rsidR="003E6A0D" w:rsidRPr="000266E0" w:rsidRDefault="003E6A0D" w:rsidP="003E6A0D">
      <w:pPr>
        <w:pStyle w:val="Kop1"/>
      </w:pPr>
      <w:r>
        <w:t>Discussion</w:t>
      </w:r>
    </w:p>
    <w:bookmarkEnd w:id="0"/>
    <w:p w14:paraId="5733BCC4" w14:textId="39878B00" w:rsidR="003E6A0D" w:rsidRDefault="2AB99495" w:rsidP="2AB99495">
      <w:pPr>
        <w:pStyle w:val="Plattetekst"/>
        <w:rPr>
          <w:rFonts w:eastAsia="Malgun Gothic"/>
          <w:lang w:eastAsia="ko-KR"/>
        </w:rPr>
      </w:pPr>
      <w:r w:rsidRPr="2AB99495">
        <w:rPr>
          <w:rFonts w:eastAsia="Malgun Gothic"/>
          <w:lang w:eastAsia="ko-KR"/>
        </w:rPr>
        <w:t>In spite of various discussions on the necessary steps to implement S-200 products and services, there are no clear milestones or deadlines identified to date for the operationalization of data.  Without concrete milestones and deadlines, developing a roadmap is difficult.  For a roadmap to be useful to IALA members, ARM is requesting additional information or ideas on implementation strategies, particularly where concrete goals can be established.</w:t>
      </w:r>
    </w:p>
    <w:p w14:paraId="44E9CAA9" w14:textId="22D55711" w:rsidR="2AB99495" w:rsidRDefault="2AB99495" w:rsidP="2AB99495">
      <w:pPr>
        <w:pStyle w:val="Plattetekst"/>
        <w:rPr>
          <w:rFonts w:eastAsia="Malgun Gothic"/>
          <w:lang w:eastAsia="ko-KR"/>
        </w:rPr>
      </w:pPr>
      <w:r w:rsidRPr="2AB99495">
        <w:rPr>
          <w:rFonts w:eastAsia="Malgun Gothic"/>
          <w:lang w:eastAsia="ko-KR"/>
        </w:rPr>
        <w:t xml:space="preserve">One example can be found in IHO’s Implementation Decade documentation, which established goals for the publication of versions 1.0.0 and 2.0.0 of S-125.  IHO’s plan identifies that version 1.0.0 should be complete by 1 January 2024, followed by a two-year period of Preliminary Implementation, and the development of S-125 v2.0.0 starting on 1 January 2026.  Logically, for S-125 to achieve these milestones, S-201 versions 1.0.0 and 2.0.0 must precede those dates.  It is worth noting that S-201 version 1.0.0 has been published to date.  </w:t>
      </w:r>
      <w:r>
        <w:br/>
      </w:r>
      <w:r w:rsidRPr="2AB99495">
        <w:rPr>
          <w:rFonts w:eastAsia="Malgun Gothic"/>
          <w:lang w:eastAsia="ko-KR"/>
        </w:rPr>
        <w:t>In addition, documentation on technical service specifications, service registries, and authentication mechanisms must also be in place.  Such specifications related to S-201 and S-125 need to be developed in a short time.</w:t>
      </w:r>
    </w:p>
    <w:p w14:paraId="10000C40" w14:textId="49F5D268" w:rsidR="2AB99495" w:rsidRDefault="2AB99495" w:rsidP="2AB99495">
      <w:pPr>
        <w:pStyle w:val="Plattetekst"/>
        <w:rPr>
          <w:rFonts w:eastAsia="Malgun Gothic"/>
          <w:lang w:eastAsia="ko-KR"/>
        </w:rPr>
      </w:pPr>
      <w:r w:rsidRPr="2AB99495">
        <w:rPr>
          <w:rFonts w:eastAsia="Malgun Gothic"/>
          <w:lang w:eastAsia="ko-KR"/>
        </w:rPr>
        <w:t xml:space="preserve">Another example is the Canadian e-Navigation Implementation Plan, which identifies a national-level plan for offering operational data and services, as well as other essential e-Navigation components.  While such a national-level plan is not requested by PAP, this example helps identify critical framework necessary to operationalize new products, and the inter-relatedness of various e-Navigation components.  </w:t>
      </w:r>
    </w:p>
    <w:p w14:paraId="5B8FA9B8" w14:textId="6DE8BDC0" w:rsidR="2AB99495" w:rsidRDefault="077917D4" w:rsidP="077917D4">
      <w:pPr>
        <w:pStyle w:val="Kop1"/>
      </w:pPr>
      <w:r>
        <w:t>Related documents (see Annex)</w:t>
      </w:r>
    </w:p>
    <w:p w14:paraId="0BF2BB17" w14:textId="206AD140" w:rsidR="077917D4" w:rsidRDefault="077917D4" w:rsidP="077917D4">
      <w:pPr>
        <w:rPr>
          <w:rFonts w:asciiTheme="minorHAnsi" w:eastAsiaTheme="minorEastAsia" w:hAnsiTheme="minorHAnsi" w:cstheme="minorBidi"/>
        </w:rPr>
      </w:pPr>
      <w:r w:rsidRPr="077917D4">
        <w:rPr>
          <w:rFonts w:asciiTheme="minorHAnsi" w:eastAsiaTheme="minorEastAsia" w:hAnsiTheme="minorHAnsi" w:cstheme="minorBidi"/>
        </w:rPr>
        <w:t>Canadian e-Navigation Implementation Plan</w:t>
      </w:r>
    </w:p>
    <w:p w14:paraId="2148CB6B" w14:textId="23B327FA" w:rsidR="077917D4" w:rsidRDefault="077917D4" w:rsidP="077917D4">
      <w:pPr>
        <w:rPr>
          <w:rFonts w:asciiTheme="minorHAnsi" w:eastAsiaTheme="minorEastAsia" w:hAnsiTheme="minorHAnsi" w:cstheme="minorBidi"/>
        </w:rPr>
      </w:pPr>
    </w:p>
    <w:p w14:paraId="2863F594" w14:textId="3DD2B68A" w:rsidR="2AB99495" w:rsidRDefault="2AB99495" w:rsidP="2AB99495">
      <w:pPr>
        <w:rPr>
          <w:rFonts w:asciiTheme="minorHAnsi" w:eastAsiaTheme="minorEastAsia" w:hAnsiTheme="minorHAnsi" w:cstheme="minorBidi"/>
          <w:szCs w:val="22"/>
        </w:rPr>
      </w:pPr>
      <w:r w:rsidRPr="2AB99495">
        <w:rPr>
          <w:rFonts w:asciiTheme="minorHAnsi" w:eastAsiaTheme="minorEastAsia" w:hAnsiTheme="minorHAnsi" w:cstheme="minorBidi"/>
          <w:szCs w:val="22"/>
        </w:rPr>
        <w:t>Roadmap for the S-100 Implementation Decade (2020 – 2030), Annex 2; S-100 Timelines, Version 2.0 Dated: 12 July, 2022  (IHO)</w:t>
      </w:r>
    </w:p>
    <w:p w14:paraId="15919C2D" w14:textId="38A11BB3" w:rsidR="2AB99495" w:rsidRDefault="2AB99495" w:rsidP="2AB99495">
      <w:pPr>
        <w:rPr>
          <w:rFonts w:asciiTheme="minorHAnsi" w:eastAsiaTheme="minorEastAsia" w:hAnsiTheme="minorHAnsi" w:cstheme="minorBidi"/>
          <w:szCs w:val="22"/>
        </w:rPr>
      </w:pPr>
    </w:p>
    <w:p w14:paraId="2FE75DFB" w14:textId="261A192F" w:rsidR="009F5C36" w:rsidRPr="000266E0" w:rsidRDefault="077917D4" w:rsidP="002B0236">
      <w:pPr>
        <w:pStyle w:val="Kop1"/>
      </w:pPr>
      <w:r>
        <w:lastRenderedPageBreak/>
        <w:t>ACTION REQUESTED</w:t>
      </w:r>
    </w:p>
    <w:p w14:paraId="1FF82D61" w14:textId="45E83027" w:rsidR="004006BD" w:rsidRDefault="2AB99495" w:rsidP="00BC2854">
      <w:pPr>
        <w:pStyle w:val="List1"/>
        <w:numPr>
          <w:ilvl w:val="0"/>
          <w:numId w:val="31"/>
        </w:numPr>
        <w:tabs>
          <w:tab w:val="left" w:pos="3096"/>
        </w:tabs>
        <w:rPr>
          <w:lang w:val="en-GB"/>
        </w:rPr>
      </w:pPr>
      <w:r w:rsidRPr="2AB99495">
        <w:rPr>
          <w:lang w:val="en-GB"/>
        </w:rPr>
        <w:t>PAP is requested to determine whether IALA milestones (goals for operationalization of S-2XX standards and products) can be established independent of other sister organizations, in order to establish timelines to inform an Implementation Decade Roadmap.</w:t>
      </w:r>
    </w:p>
    <w:p w14:paraId="230CD84E" w14:textId="3F76A5E9" w:rsidR="00BC2854" w:rsidRPr="000266E0" w:rsidRDefault="2AB99495" w:rsidP="00BC2854">
      <w:pPr>
        <w:pStyle w:val="List1"/>
        <w:numPr>
          <w:ilvl w:val="0"/>
          <w:numId w:val="31"/>
        </w:numPr>
        <w:tabs>
          <w:tab w:val="left" w:pos="3096"/>
        </w:tabs>
        <w:rPr>
          <w:lang w:val="en-GB"/>
        </w:rPr>
      </w:pPr>
      <w:r w:rsidRPr="2AB99495">
        <w:rPr>
          <w:lang w:val="en-GB"/>
        </w:rPr>
        <w:t xml:space="preserve">PAP is requested to consider IALA engagement with IMO to determine whether the e-Navigation Strategic Implementation Plan is due for an update in order to better inform plans for an IALA Implementation Decade with milestones and concrete deliverables for Maritime Services.  </w:t>
      </w:r>
    </w:p>
    <w:p w14:paraId="1699AC3F" w14:textId="61D4D467" w:rsidR="007775C6" w:rsidRPr="000266E0" w:rsidRDefault="007775C6" w:rsidP="007775C6">
      <w:pPr>
        <w:pStyle w:val="List1"/>
        <w:numPr>
          <w:ilvl w:val="0"/>
          <w:numId w:val="0"/>
        </w:numPr>
        <w:ind w:left="567"/>
        <w:rPr>
          <w:lang w:val="en-GB"/>
        </w:rPr>
      </w:pPr>
    </w:p>
    <w:p w14:paraId="56D0659E" w14:textId="38E52F5D" w:rsidR="00572731" w:rsidRDefault="00572731">
      <w:pPr>
        <w:tabs>
          <w:tab w:val="clear" w:pos="851"/>
        </w:tabs>
      </w:pPr>
      <w:r>
        <w:br w:type="page"/>
      </w:r>
    </w:p>
    <w:p w14:paraId="4B56DD26" w14:textId="539360FE" w:rsidR="004006BD" w:rsidRDefault="077917D4" w:rsidP="00572731">
      <w:pPr>
        <w:pStyle w:val="Kop1"/>
        <w:numPr>
          <w:ilvl w:val="0"/>
          <w:numId w:val="0"/>
        </w:numPr>
        <w:ind w:left="432"/>
      </w:pPr>
      <w:r>
        <w:lastRenderedPageBreak/>
        <w:t>Annex A</w:t>
      </w:r>
    </w:p>
    <w:p w14:paraId="233924F2" w14:textId="2DDFE936" w:rsidR="077917D4" w:rsidRDefault="077917D4" w:rsidP="077917D4"/>
    <w:p w14:paraId="76944833" w14:textId="51130181" w:rsidR="077917D4" w:rsidRDefault="077917D4" w:rsidP="077917D4">
      <w:pPr>
        <w:tabs>
          <w:tab w:val="clear" w:pos="851"/>
        </w:tabs>
        <w:rPr>
          <w:rFonts w:asciiTheme="minorHAnsi" w:eastAsiaTheme="minorEastAsia" w:hAnsiTheme="minorHAnsi" w:cstheme="minorBidi"/>
        </w:rPr>
      </w:pPr>
      <w:r w:rsidRPr="077917D4">
        <w:rPr>
          <w:lang w:val="en-US" w:eastAsia="de-DE"/>
        </w:rPr>
        <w:t xml:space="preserve">Link to the: </w:t>
      </w:r>
      <w:hyperlink r:id="rId10">
        <w:r w:rsidRPr="077917D4">
          <w:rPr>
            <w:rStyle w:val="Hyperlink"/>
            <w:rFonts w:asciiTheme="minorHAnsi" w:eastAsiaTheme="minorEastAsia" w:hAnsiTheme="minorHAnsi" w:cstheme="minorBidi"/>
          </w:rPr>
          <w:t>Canadian e-Navigation Implementation Plan.</w:t>
        </w:r>
      </w:hyperlink>
    </w:p>
    <w:p w14:paraId="45FFBED1" w14:textId="28DE2C34" w:rsidR="077917D4" w:rsidRDefault="077917D4" w:rsidP="077917D4"/>
    <w:p w14:paraId="4BB55AE8" w14:textId="61E12735" w:rsidR="077917D4" w:rsidRDefault="077917D4" w:rsidP="077917D4"/>
    <w:p w14:paraId="6D69BF82" w14:textId="1FC5D978" w:rsidR="077917D4" w:rsidRDefault="077917D4" w:rsidP="077917D4"/>
    <w:p w14:paraId="7D8D5667" w14:textId="77777777" w:rsidR="00572731" w:rsidRDefault="00572731" w:rsidP="00572731">
      <w:pPr>
        <w:rPr>
          <w:lang w:eastAsia="de-DE"/>
        </w:rPr>
      </w:pPr>
    </w:p>
    <w:p w14:paraId="66FDC957" w14:textId="77777777" w:rsidR="00572731" w:rsidRDefault="00572731" w:rsidP="005727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Roadmap for the S-100 Implementation Decade (2020 – 2030), Annex 2</w:t>
      </w:r>
    </w:p>
    <w:p w14:paraId="3121ECCB" w14:textId="77777777" w:rsidR="00572731" w:rsidRDefault="00572731" w:rsidP="005727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S-100 Timelines</w:t>
      </w:r>
    </w:p>
    <w:p w14:paraId="7D85E795" w14:textId="77777777" w:rsidR="00572731" w:rsidRDefault="00572731" w:rsidP="005727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Version 2.0 Dated: 12 July, 2022</w:t>
      </w:r>
      <w:r>
        <w:rPr>
          <w:rFonts w:ascii="Arial" w:hAnsi="Arial" w:cs="Arial"/>
          <w:b/>
        </w:rPr>
        <w:br/>
      </w:r>
    </w:p>
    <w:p w14:paraId="1512360B" w14:textId="77777777" w:rsidR="00572731" w:rsidRDefault="00572731" w:rsidP="00572731">
      <w:pPr>
        <w:pStyle w:val="Kop2"/>
        <w:numPr>
          <w:ilvl w:val="0"/>
          <w:numId w:val="0"/>
        </w:numPr>
        <w:ind w:left="851" w:hanging="851"/>
        <w:rPr>
          <w:rFonts w:ascii="Arial" w:hAnsi="Arial" w:cs="Arial"/>
        </w:rPr>
      </w:pPr>
      <w:r>
        <w:t xml:space="preserve">S-100 Implementation Priorities </w:t>
      </w:r>
    </w:p>
    <w:p w14:paraId="76B001A9" w14:textId="77777777" w:rsidR="00572731" w:rsidRDefault="00572731" w:rsidP="00572731">
      <w:pPr>
        <w:rPr>
          <w:rFonts w:ascii="Arial" w:hAnsi="Arial" w:cs="Arial"/>
          <w:b/>
        </w:rPr>
      </w:pPr>
      <w:r>
        <w:rPr>
          <w:rFonts w:ascii="Arial" w:hAnsi="Arial" w:cs="Arial"/>
          <w:lang w:eastAsia="fr-FR"/>
        </w:rPr>
        <w:t>For the first edition of S-98, which will handle interoperability between different layers in the future S-100 ECDIS, priority will be given to layers used in route monitoring mode. In the next step layers used in route planning mode will be included. In</w:t>
      </w:r>
      <w:r>
        <w:rPr>
          <w:rFonts w:ascii="Arial" w:hAnsi="Arial" w:cs="Arial"/>
          <w:lang w:val="en-US" w:eastAsia="fr-FR"/>
        </w:rPr>
        <w:t xml:space="preserve"> order to achieve usage of S-100 products in future S-100 ECDIS it is critical to also develop the supporting framework in accordance with the S-100 timeline and even in some cases to speed up this development. The critical S-100 framework consist of the IHO Geospatial Information (GI) Registry, the S-100 Universal Hydrographic Data Model, the Interoperability Specification (S-98), the Catalogue of Nautical Products (S-128) and the Test Data Set for S-100 and ECDIS Type Approval (S-164). </w:t>
      </w:r>
      <w:r>
        <w:rPr>
          <w:rFonts w:ascii="Arial" w:hAnsi="Arial" w:cs="Arial"/>
          <w:lang w:eastAsia="fr-FR"/>
        </w:rPr>
        <w:t xml:space="preserve"> </w:t>
      </w:r>
      <w:r>
        <w:rPr>
          <w:rFonts w:ascii="Arial" w:hAnsi="Arial" w:cs="Arial"/>
          <w:lang w:val="en-US"/>
        </w:rPr>
        <w:t>It should be noted that priorities given to the products used in route monitoring mode and the critical S-100 framework does not prevent route planning products to be developed in parallel to the once in the first step. In addition to the route monitoring products, also S-122, S-127 and S-131 should be operational 2026.</w:t>
      </w:r>
    </w:p>
    <w:tbl>
      <w:tblPr>
        <w:tblStyle w:val="TableNormal1"/>
        <w:tblW w:w="0" w:type="auto"/>
        <w:tblInd w:w="1052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4"/>
        <w:gridCol w:w="5084"/>
      </w:tblGrid>
      <w:tr w:rsidR="00572731" w14:paraId="05617129" w14:textId="77777777" w:rsidTr="00572731">
        <w:trPr>
          <w:trHeight w:val="212"/>
        </w:trPr>
        <w:tc>
          <w:tcPr>
            <w:tcW w:w="6588" w:type="dxa"/>
            <w:gridSpan w:val="2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593C9D0A" w14:textId="77777777" w:rsidR="00572731" w:rsidRDefault="00572731">
            <w:pPr>
              <w:pStyle w:val="TableParagraph"/>
              <w:spacing w:line="233" w:lineRule="exact"/>
            </w:pPr>
            <w:r>
              <w:t>Table A – IHO list of S-100 products with special focus</w:t>
            </w:r>
          </w:p>
        </w:tc>
      </w:tr>
      <w:tr w:rsidR="00572731" w14:paraId="382E4573" w14:textId="77777777" w:rsidTr="00572731">
        <w:trPr>
          <w:trHeight w:val="212"/>
        </w:trPr>
        <w:tc>
          <w:tcPr>
            <w:tcW w:w="6588" w:type="dxa"/>
            <w:gridSpan w:val="2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063EF449" w14:textId="77777777" w:rsidR="00572731" w:rsidRDefault="00572731">
            <w:pPr>
              <w:pStyle w:val="TableParagraph"/>
              <w:spacing w:line="233" w:lineRule="exact"/>
            </w:pPr>
            <w:r>
              <w:t>First step – Route monitoring mode</w:t>
            </w:r>
          </w:p>
        </w:tc>
      </w:tr>
      <w:tr w:rsidR="00572731" w14:paraId="725E34AF" w14:textId="77777777" w:rsidTr="00572731">
        <w:trPr>
          <w:trHeight w:val="212"/>
        </w:trPr>
        <w:tc>
          <w:tcPr>
            <w:tcW w:w="150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622B17B4" w14:textId="77777777" w:rsidR="00572731" w:rsidRDefault="00572731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S-101</w:t>
            </w:r>
          </w:p>
        </w:tc>
        <w:tc>
          <w:tcPr>
            <w:tcW w:w="508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2A3946CF" w14:textId="77777777" w:rsidR="00572731" w:rsidRDefault="00572731">
            <w:pPr>
              <w:pStyle w:val="TableParagraph"/>
              <w:spacing w:line="233" w:lineRule="exact"/>
            </w:pPr>
            <w:r>
              <w:t>Electronic</w:t>
            </w:r>
            <w:r>
              <w:rPr>
                <w:spacing w:val="-3"/>
              </w:rPr>
              <w:t xml:space="preserve"> </w:t>
            </w:r>
            <w:r>
              <w:t>Navigational</w:t>
            </w:r>
            <w:r>
              <w:rPr>
                <w:spacing w:val="-1"/>
              </w:rPr>
              <w:t xml:space="preserve"> </w:t>
            </w:r>
            <w:r>
              <w:t>Chart</w:t>
            </w:r>
            <w:r>
              <w:rPr>
                <w:spacing w:val="-2"/>
              </w:rPr>
              <w:t xml:space="preserve"> </w:t>
            </w:r>
            <w:r>
              <w:t>(ENC)</w:t>
            </w:r>
          </w:p>
        </w:tc>
      </w:tr>
      <w:tr w:rsidR="00572731" w14:paraId="05939AC5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23181456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S-102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6DD0FD55" w14:textId="77777777" w:rsidR="00572731" w:rsidRDefault="00572731">
            <w:pPr>
              <w:pStyle w:val="TableParagraph"/>
            </w:pPr>
            <w:r>
              <w:t>Bathymetric</w:t>
            </w:r>
            <w:r>
              <w:rPr>
                <w:spacing w:val="-2"/>
              </w:rPr>
              <w:t xml:space="preserve"> </w:t>
            </w:r>
            <w:r>
              <w:t>Surface</w:t>
            </w:r>
          </w:p>
        </w:tc>
      </w:tr>
      <w:tr w:rsidR="00572731" w14:paraId="391B9365" w14:textId="77777777" w:rsidTr="00572731">
        <w:trPr>
          <w:trHeight w:val="213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0AA538D5" w14:textId="77777777" w:rsidR="00572731" w:rsidRDefault="0057273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S-104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7F81FEDE" w14:textId="77777777" w:rsidR="00572731" w:rsidRDefault="00572731">
            <w:pPr>
              <w:pStyle w:val="TableParagraph"/>
              <w:spacing w:line="234" w:lineRule="exact"/>
            </w:pPr>
            <w:r>
              <w:t>Water</w:t>
            </w:r>
            <w:r>
              <w:rPr>
                <w:spacing w:val="-3"/>
              </w:rPr>
              <w:t xml:space="preserve"> </w:t>
            </w:r>
            <w:r>
              <w:t>Level</w:t>
            </w:r>
            <w:r>
              <w:rPr>
                <w:spacing w:val="-2"/>
              </w:rPr>
              <w:t xml:space="preserve"> </w:t>
            </w:r>
            <w:r>
              <w:t>Information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Surface</w:t>
            </w:r>
            <w:r>
              <w:rPr>
                <w:spacing w:val="-2"/>
              </w:rPr>
              <w:t xml:space="preserve"> </w:t>
            </w:r>
            <w:r>
              <w:t>Navigation</w:t>
            </w:r>
          </w:p>
        </w:tc>
      </w:tr>
      <w:tr w:rsidR="00572731" w14:paraId="082162DE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71F25032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S-111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77FB8B71" w14:textId="77777777" w:rsidR="00572731" w:rsidRDefault="00572731">
            <w:pPr>
              <w:pStyle w:val="TableParagraph"/>
            </w:pPr>
            <w:r>
              <w:t>Surface</w:t>
            </w:r>
            <w:r>
              <w:rPr>
                <w:spacing w:val="-2"/>
              </w:rPr>
              <w:t xml:space="preserve"> </w:t>
            </w:r>
            <w:r>
              <w:t>Currents</w:t>
            </w:r>
          </w:p>
        </w:tc>
      </w:tr>
      <w:tr w:rsidR="00572731" w14:paraId="0180F5F2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03DA9906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S-124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742D1B65" w14:textId="77777777" w:rsidR="00572731" w:rsidRDefault="00572731">
            <w:pPr>
              <w:pStyle w:val="TableParagraph"/>
            </w:pPr>
            <w:r>
              <w:t>Navigational Warnings</w:t>
            </w:r>
          </w:p>
        </w:tc>
      </w:tr>
      <w:tr w:rsidR="00572731" w14:paraId="56CB3D60" w14:textId="77777777" w:rsidTr="00572731">
        <w:trPr>
          <w:trHeight w:val="213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4864AC"/>
            <w:hideMark/>
          </w:tcPr>
          <w:p w14:paraId="4B67E8F4" w14:textId="77777777" w:rsidR="00572731" w:rsidRDefault="0057273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S-129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6C60C0A4" w14:textId="77777777" w:rsidR="00572731" w:rsidRDefault="00572731">
            <w:pPr>
              <w:pStyle w:val="TableParagraph"/>
              <w:spacing w:line="234" w:lineRule="exact"/>
            </w:pPr>
            <w:r>
              <w:t>Under</w:t>
            </w:r>
            <w:r>
              <w:rPr>
                <w:spacing w:val="-3"/>
              </w:rPr>
              <w:t xml:space="preserve"> </w:t>
            </w:r>
            <w:r>
              <w:t>Keel</w:t>
            </w:r>
            <w:r>
              <w:rPr>
                <w:spacing w:val="-2"/>
              </w:rPr>
              <w:t xml:space="preserve"> </w:t>
            </w:r>
            <w:r>
              <w:t>Clearance</w:t>
            </w:r>
            <w:r>
              <w:rPr>
                <w:spacing w:val="-3"/>
              </w:rPr>
              <w:t xml:space="preserve"> </w:t>
            </w:r>
            <w:r>
              <w:t>Management</w:t>
            </w:r>
          </w:p>
        </w:tc>
      </w:tr>
      <w:tr w:rsidR="00572731" w14:paraId="364E4F99" w14:textId="77777777" w:rsidTr="00572731">
        <w:trPr>
          <w:trHeight w:val="212"/>
        </w:trPr>
        <w:tc>
          <w:tcPr>
            <w:tcW w:w="6588" w:type="dxa"/>
            <w:gridSpan w:val="2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4DFE77FF" w14:textId="77777777" w:rsidR="00572731" w:rsidRDefault="00572731">
            <w:pPr>
              <w:pStyle w:val="TableParagraph"/>
              <w:spacing w:line="233" w:lineRule="exact"/>
            </w:pPr>
            <w:r>
              <w:t>Critical Framework</w:t>
            </w:r>
          </w:p>
        </w:tc>
      </w:tr>
      <w:tr w:rsidR="00572731" w14:paraId="339F4023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</w:tcPr>
          <w:p w14:paraId="755071E0" w14:textId="77777777" w:rsidR="00572731" w:rsidRDefault="00572731">
            <w:pPr>
              <w:pStyle w:val="TableParagraph"/>
              <w:rPr>
                <w:b/>
              </w:rPr>
            </w:pP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2A2DA1A7" w14:textId="77777777" w:rsidR="00572731" w:rsidRDefault="00572731">
            <w:pPr>
              <w:pStyle w:val="TableParagraph"/>
            </w:pPr>
            <w:r>
              <w:rPr>
                <w:lang w:val="en-GB"/>
              </w:rPr>
              <w:t>IHO Geospatial Information Registry</w:t>
            </w:r>
          </w:p>
        </w:tc>
      </w:tr>
      <w:tr w:rsidR="00572731" w14:paraId="76A2CFBA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7F6C4897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S-98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7829CCCD" w14:textId="77777777" w:rsidR="00572731" w:rsidRDefault="00572731">
            <w:pPr>
              <w:pStyle w:val="TableParagraph"/>
            </w:pPr>
            <w:r>
              <w:rPr>
                <w:lang w:val="en-GB"/>
              </w:rPr>
              <w:t>Interoperability Specification</w:t>
            </w:r>
          </w:p>
        </w:tc>
      </w:tr>
      <w:tr w:rsidR="00572731" w14:paraId="58B6275B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5F080B21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S-100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529FD4DE" w14:textId="77777777" w:rsidR="00572731" w:rsidRDefault="00572731">
            <w:pPr>
              <w:pStyle w:val="TableParagraph"/>
            </w:pPr>
            <w:r>
              <w:rPr>
                <w:lang w:val="en-GB"/>
              </w:rPr>
              <w:t>Universal Hydrographic Data Model</w:t>
            </w:r>
          </w:p>
        </w:tc>
      </w:tr>
      <w:tr w:rsidR="00572731" w14:paraId="7C14ED38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5F10BEAD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S-128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206FCCEA" w14:textId="77777777" w:rsidR="00572731" w:rsidRDefault="00572731">
            <w:pPr>
              <w:pStyle w:val="TableParagraph"/>
            </w:pPr>
            <w:r>
              <w:t>Catalogue of Nautical Products</w:t>
            </w:r>
          </w:p>
        </w:tc>
      </w:tr>
      <w:tr w:rsidR="00572731" w14:paraId="18D7C07F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49DD70BC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S-164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4F3AABA5" w14:textId="77777777" w:rsidR="00572731" w:rsidRDefault="00572731">
            <w:pPr>
              <w:pStyle w:val="TableParagraph"/>
            </w:pPr>
            <w:r>
              <w:rPr>
                <w:lang w:val="en-GB"/>
              </w:rPr>
              <w:t>Test Data Set for S-100 and ECDIS Type Approval</w:t>
            </w:r>
          </w:p>
        </w:tc>
      </w:tr>
      <w:tr w:rsidR="00572731" w14:paraId="35BB45E6" w14:textId="77777777" w:rsidTr="00572731">
        <w:trPr>
          <w:trHeight w:val="212"/>
        </w:trPr>
        <w:tc>
          <w:tcPr>
            <w:tcW w:w="6588" w:type="dxa"/>
            <w:gridSpan w:val="2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28007CAA" w14:textId="77777777" w:rsidR="00572731" w:rsidRDefault="00572731">
            <w:pPr>
              <w:pStyle w:val="TableParagraph"/>
              <w:spacing w:line="233" w:lineRule="exact"/>
            </w:pPr>
            <w:r>
              <w:t>Second step – Route planning mode</w:t>
            </w:r>
          </w:p>
        </w:tc>
      </w:tr>
      <w:tr w:rsidR="00572731" w14:paraId="51612C30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6C754E9C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S-122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6B55B081" w14:textId="77777777" w:rsidR="00572731" w:rsidRDefault="00572731">
            <w:pPr>
              <w:pStyle w:val="TableParagraph"/>
            </w:pPr>
            <w:r>
              <w:t>Marine</w:t>
            </w:r>
            <w:r>
              <w:rPr>
                <w:spacing w:val="-2"/>
              </w:rPr>
              <w:t xml:space="preserve"> </w:t>
            </w:r>
            <w:r>
              <w:t>Protected</w:t>
            </w:r>
            <w:r>
              <w:rPr>
                <w:spacing w:val="-1"/>
              </w:rPr>
              <w:t xml:space="preserve"> </w:t>
            </w:r>
            <w:r>
              <w:t>Areas</w:t>
            </w:r>
          </w:p>
        </w:tc>
      </w:tr>
      <w:tr w:rsidR="00572731" w14:paraId="4B5A4381" w14:textId="77777777" w:rsidTr="00572731">
        <w:trPr>
          <w:trHeight w:val="213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17E919DD" w14:textId="77777777" w:rsidR="00572731" w:rsidRDefault="0057273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S-123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6491E064" w14:textId="77777777" w:rsidR="00572731" w:rsidRDefault="00572731">
            <w:pPr>
              <w:pStyle w:val="TableParagraph"/>
              <w:spacing w:line="234" w:lineRule="exact"/>
            </w:pPr>
            <w:r>
              <w:t>Marine Radio</w:t>
            </w:r>
            <w:r>
              <w:rPr>
                <w:spacing w:val="-3"/>
              </w:rPr>
              <w:t xml:space="preserve"> </w:t>
            </w:r>
            <w:r>
              <w:t>Services</w:t>
            </w:r>
          </w:p>
        </w:tc>
      </w:tr>
      <w:tr w:rsidR="00572731" w14:paraId="3DC2A688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60DC8A45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S-125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07B1742D" w14:textId="77777777" w:rsidR="00572731" w:rsidRDefault="00572731">
            <w:pPr>
              <w:pStyle w:val="TableParagraph"/>
            </w:pPr>
            <w:r>
              <w:t>Marine Aids to Navigational (</w:t>
            </w:r>
            <w:proofErr w:type="spellStart"/>
            <w:r>
              <w:t>AtoN</w:t>
            </w:r>
            <w:proofErr w:type="spellEnd"/>
            <w:r>
              <w:t>)</w:t>
            </w:r>
          </w:p>
        </w:tc>
      </w:tr>
      <w:tr w:rsidR="00572731" w14:paraId="5069DDF0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6F7B947B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S-126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72FC3428" w14:textId="77777777" w:rsidR="00572731" w:rsidRDefault="00572731">
            <w:pPr>
              <w:pStyle w:val="TableParagraph"/>
            </w:pPr>
            <w:r>
              <w:t>Marine Physical Environment</w:t>
            </w:r>
          </w:p>
        </w:tc>
      </w:tr>
      <w:tr w:rsidR="00572731" w14:paraId="6D87E62F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08742053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t>S-127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6A08C559" w14:textId="77777777" w:rsidR="00572731" w:rsidRDefault="00572731">
            <w:pPr>
              <w:pStyle w:val="TableParagraph"/>
            </w:pPr>
            <w:r>
              <w:t>Marine Traffic Management</w:t>
            </w:r>
          </w:p>
        </w:tc>
      </w:tr>
      <w:tr w:rsidR="00572731" w14:paraId="2D4525A1" w14:textId="77777777" w:rsidTr="00572731">
        <w:trPr>
          <w:trHeight w:val="212"/>
        </w:trPr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864AC"/>
            <w:hideMark/>
          </w:tcPr>
          <w:p w14:paraId="119686C6" w14:textId="77777777" w:rsidR="00572731" w:rsidRDefault="00572731">
            <w:pPr>
              <w:pStyle w:val="TableParagraph"/>
              <w:rPr>
                <w:b/>
              </w:rPr>
            </w:pPr>
            <w:r>
              <w:rPr>
                <w:b/>
              </w:rPr>
              <w:lastRenderedPageBreak/>
              <w:t>S-131</w:t>
            </w:r>
          </w:p>
        </w:tc>
        <w:tc>
          <w:tcPr>
            <w:tcW w:w="5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hideMark/>
          </w:tcPr>
          <w:p w14:paraId="56BD0A68" w14:textId="77777777" w:rsidR="00572731" w:rsidRDefault="00572731">
            <w:pPr>
              <w:pStyle w:val="TableParagraph"/>
              <w:keepNext/>
            </w:pPr>
            <w:r>
              <w:t xml:space="preserve">Marine </w:t>
            </w:r>
            <w:proofErr w:type="spellStart"/>
            <w:r>
              <w:t>Harbour</w:t>
            </w:r>
            <w:proofErr w:type="spellEnd"/>
            <w:r>
              <w:t xml:space="preserve"> Infrastructure</w:t>
            </w:r>
          </w:p>
        </w:tc>
      </w:tr>
    </w:tbl>
    <w:p w14:paraId="50C14FE7" w14:textId="77777777" w:rsidR="00572731" w:rsidRDefault="00572731" w:rsidP="00572731">
      <w:pPr>
        <w:pStyle w:val="Bijschrift"/>
        <w:rPr>
          <w:lang w:val="en-US"/>
        </w:rPr>
      </w:pPr>
      <w:r>
        <w:rPr>
          <w:lang w:val="en-US"/>
        </w:rPr>
        <w:t xml:space="preserve">Figure </w:t>
      </w:r>
      <w:r>
        <w:fldChar w:fldCharType="begin"/>
      </w:r>
      <w:r>
        <w:rPr>
          <w:lang w:val="en-US"/>
        </w:rPr>
        <w:instrText xml:space="preserve"> SEQ Figure \* ARABIC </w:instrText>
      </w:r>
      <w:r>
        <w:fldChar w:fldCharType="separate"/>
      </w:r>
      <w:r>
        <w:rPr>
          <w:noProof/>
          <w:lang w:val="en-US"/>
        </w:rPr>
        <w:t>1</w:t>
      </w:r>
      <w:r>
        <w:fldChar w:fldCharType="end"/>
      </w:r>
      <w:r>
        <w:rPr>
          <w:lang w:val="en-US"/>
        </w:rPr>
        <w:t xml:space="preserve"> The S-100 Implementation Priorities. The first step is product specifications for Route Monitoring which must be mode supported by the Critical S-100 Framework. Product specifications for Route Planning will be developed as the second step.</w:t>
      </w:r>
    </w:p>
    <w:p w14:paraId="23233686" w14:textId="4B0C0A46" w:rsidR="00572731" w:rsidRDefault="00572731" w:rsidP="00572731">
      <w:pPr>
        <w:pStyle w:val="Kop2"/>
        <w:numPr>
          <w:ilvl w:val="0"/>
          <w:numId w:val="0"/>
        </w:numPr>
        <w:spacing w:before="360"/>
        <w:ind w:left="851" w:hanging="851"/>
        <w:rPr>
          <w:lang w:val="en-US"/>
        </w:rPr>
      </w:pPr>
      <w:r>
        <w:rPr>
          <w:noProof/>
          <w:color w:val="000000" w:themeColor="text1"/>
          <w:lang w:val="fr-FR" w:eastAsia="fr-FR"/>
        </w:rPr>
        <w:drawing>
          <wp:inline distT="0" distB="0" distL="0" distR="0" wp14:anchorId="6C2CDCF8" wp14:editId="42016853">
            <wp:extent cx="5821680" cy="3032760"/>
            <wp:effectExtent l="0" t="0" r="7620" b="0"/>
            <wp:docPr id="190547795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680" cy="303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F71D9" w14:textId="77777777" w:rsidR="00572731" w:rsidRDefault="00572731" w:rsidP="00572731">
      <w:pPr>
        <w:pStyle w:val="Bijschrift"/>
        <w:rPr>
          <w:lang w:val="en-US"/>
        </w:rPr>
      </w:pPr>
      <w:r>
        <w:rPr>
          <w:lang w:val="en-US"/>
        </w:rPr>
        <w:t xml:space="preserve">Figure </w:t>
      </w:r>
      <w:r>
        <w:fldChar w:fldCharType="begin"/>
      </w:r>
      <w:r>
        <w:rPr>
          <w:lang w:val="en-US"/>
        </w:rPr>
        <w:instrText xml:space="preserve"> SEQ Figure \* ARABIC </w:instrText>
      </w:r>
      <w:r>
        <w:fldChar w:fldCharType="separate"/>
      </w:r>
      <w:r>
        <w:rPr>
          <w:noProof/>
          <w:lang w:val="en-US"/>
        </w:rPr>
        <w:t>2</w:t>
      </w:r>
      <w:r>
        <w:fldChar w:fldCharType="end"/>
      </w:r>
      <w:r>
        <w:rPr>
          <w:lang w:val="en-US"/>
        </w:rPr>
        <w:t xml:space="preserve"> The IHO Navigational Package to be handled by the Interoperability Specification S-98. Additional layers may be added in the future.</w:t>
      </w:r>
    </w:p>
    <w:p w14:paraId="34EF4A07" w14:textId="77777777" w:rsidR="00572731" w:rsidRDefault="00572731" w:rsidP="00572731">
      <w:pPr>
        <w:spacing w:after="160" w:line="256" w:lineRule="auto"/>
        <w:rPr>
          <w:i/>
          <w:iCs/>
          <w:color w:val="44546A" w:themeColor="text2"/>
          <w:sz w:val="18"/>
          <w:szCs w:val="18"/>
          <w:lang w:val="en-US"/>
        </w:rPr>
      </w:pPr>
      <w:r>
        <w:rPr>
          <w:lang w:val="en-US"/>
        </w:rPr>
        <w:br w:type="page"/>
      </w:r>
    </w:p>
    <w:p w14:paraId="5AF7D139" w14:textId="77777777" w:rsidR="00572731" w:rsidRDefault="00572731" w:rsidP="00572731">
      <w:pPr>
        <w:pStyle w:val="Kop2"/>
        <w:numPr>
          <w:ilvl w:val="0"/>
          <w:numId w:val="0"/>
        </w:numPr>
        <w:spacing w:before="360"/>
        <w:ind w:left="851" w:hanging="851"/>
        <w:rPr>
          <w:color w:val="000000" w:themeColor="text1"/>
          <w:sz w:val="22"/>
          <w:szCs w:val="22"/>
        </w:rPr>
      </w:pPr>
      <w:r>
        <w:rPr>
          <w:color w:val="000000" w:themeColor="text1"/>
        </w:rPr>
        <w:lastRenderedPageBreak/>
        <w:t>S-100 Timeline for the prioritized IHO Product Specifications</w:t>
      </w:r>
    </w:p>
    <w:p w14:paraId="70225A03" w14:textId="77777777" w:rsidR="00572731" w:rsidRDefault="00572731" w:rsidP="00572731">
      <w:pPr>
        <w:rPr>
          <w:lang w:eastAsia="en-AU"/>
        </w:rPr>
      </w:pPr>
      <w:r>
        <w:rPr>
          <w:lang w:eastAsia="en-AU"/>
        </w:rPr>
        <w:t xml:space="preserve">The S-100 timeline is maintained by the IHO Secretariat as a version controlled Gantt Diagram and is updated and reported annually to the IHO Council. </w:t>
      </w:r>
    </w:p>
    <w:p w14:paraId="70E40AEA" w14:textId="6758EEBE" w:rsidR="00572731" w:rsidRDefault="00572731" w:rsidP="00572731">
      <w:pPr>
        <w:keepNext/>
        <w:rPr>
          <w:lang w:val="fr-FR"/>
        </w:rPr>
      </w:pPr>
      <w:r>
        <w:rPr>
          <w:noProof/>
          <w:lang w:eastAsia="fr-FR"/>
        </w:rPr>
        <w:drawing>
          <wp:inline distT="0" distB="0" distL="0" distR="0" wp14:anchorId="1025FBA0" wp14:editId="6B66F1D8">
            <wp:extent cx="5768340" cy="3589020"/>
            <wp:effectExtent l="0" t="0" r="3810" b="0"/>
            <wp:docPr id="371744049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3AD83" w14:textId="77777777" w:rsidR="00572731" w:rsidRDefault="00572731" w:rsidP="00572731">
      <w:pPr>
        <w:pStyle w:val="Bijschrift"/>
        <w:rPr>
          <w:lang w:val="en-GB" w:eastAsia="en-AU"/>
        </w:rPr>
      </w:pPr>
      <w:r>
        <w:rPr>
          <w:lang w:val="en-US"/>
        </w:rPr>
        <w:t xml:space="preserve">Figure </w:t>
      </w:r>
      <w:r>
        <w:fldChar w:fldCharType="begin"/>
      </w:r>
      <w:r>
        <w:rPr>
          <w:lang w:val="en-US"/>
        </w:rPr>
        <w:instrText xml:space="preserve"> SEQ Figure \* ARABIC </w:instrText>
      </w:r>
      <w:r>
        <w:fldChar w:fldCharType="separate"/>
      </w:r>
      <w:r>
        <w:rPr>
          <w:noProof/>
          <w:lang w:val="en-US"/>
        </w:rPr>
        <w:t>3</w:t>
      </w:r>
      <w:r>
        <w:fldChar w:fldCharType="end"/>
      </w:r>
      <w:r>
        <w:rPr>
          <w:lang w:val="en-GB" w:eastAsia="en-AU"/>
        </w:rPr>
        <w:t xml:space="preserve"> This S-100 timeline is updated: 12 July, 2022.</w:t>
      </w:r>
    </w:p>
    <w:p w14:paraId="11A47A32" w14:textId="77777777" w:rsidR="00572731" w:rsidRDefault="00572731" w:rsidP="00572731">
      <w:pPr>
        <w:pStyle w:val="Bijschrift"/>
        <w:rPr>
          <w:lang w:val="en-US"/>
        </w:rPr>
      </w:pPr>
    </w:p>
    <w:p w14:paraId="6DF09086" w14:textId="77777777" w:rsidR="00572731" w:rsidRDefault="00572731" w:rsidP="00572731">
      <w:pPr>
        <w:spacing w:after="160" w:line="256" w:lineRule="auto"/>
        <w:rPr>
          <w:lang w:eastAsia="en-AU"/>
        </w:rPr>
      </w:pPr>
      <w:r>
        <w:rPr>
          <w:lang w:eastAsia="en-AU"/>
        </w:rPr>
        <w:br w:type="page"/>
      </w:r>
    </w:p>
    <w:p w14:paraId="40E56602" w14:textId="77777777" w:rsidR="00572731" w:rsidRDefault="00572731" w:rsidP="00572731">
      <w:pPr>
        <w:pStyle w:val="Kop2"/>
        <w:numPr>
          <w:ilvl w:val="0"/>
          <w:numId w:val="0"/>
        </w:numPr>
        <w:ind w:left="851" w:hanging="851"/>
        <w:rPr>
          <w:lang w:val="en-US" w:eastAsia="en-AU"/>
        </w:rPr>
      </w:pPr>
      <w:r>
        <w:lastRenderedPageBreak/>
        <w:t xml:space="preserve">Synoptic Diagram on Options for HOs for Parallel Production of S-101 and S-57 ENCs </w:t>
      </w:r>
    </w:p>
    <w:p w14:paraId="3B8721FC" w14:textId="77777777" w:rsidR="00572731" w:rsidRDefault="00572731" w:rsidP="00572731">
      <w:pPr>
        <w:rPr>
          <w:lang w:val="en-US" w:eastAsia="en-AU"/>
        </w:rPr>
      </w:pPr>
      <w:r>
        <w:rPr>
          <w:lang w:val="en-US" w:eastAsia="en-AU"/>
        </w:rPr>
        <w:t>It is concluded that the preferred option for HOs would be to produce their ENCs from a database driven production system since it is expected that production systems software companies will include support for parallel ENC production (S-57 and S-101) when using a database driven system. However, HSSC has prepared a synoptic diagram to show other possible options for HOs in regards to parallel production.</w:t>
      </w:r>
    </w:p>
    <w:p w14:paraId="4A2F906C" w14:textId="79EAC62D" w:rsidR="00572731" w:rsidRDefault="00572731" w:rsidP="00572731">
      <w:pPr>
        <w:keepNext/>
        <w:rPr>
          <w:lang w:val="fr-FR"/>
        </w:rPr>
      </w:pPr>
      <w:r>
        <w:rPr>
          <w:noProof/>
          <w:lang w:eastAsia="fr-FR"/>
        </w:rPr>
        <w:drawing>
          <wp:inline distT="0" distB="0" distL="0" distR="0" wp14:anchorId="1C32E166" wp14:editId="56A14E7C">
            <wp:extent cx="5768340" cy="3040380"/>
            <wp:effectExtent l="0" t="0" r="3810" b="7620"/>
            <wp:docPr id="179087553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44AD7" w14:textId="77777777" w:rsidR="00572731" w:rsidRDefault="00572731" w:rsidP="00572731">
      <w:pPr>
        <w:pStyle w:val="Bijschrift"/>
        <w:rPr>
          <w:lang w:val="en-US"/>
        </w:rPr>
      </w:pPr>
      <w:r>
        <w:rPr>
          <w:lang w:val="en-US"/>
        </w:rPr>
        <w:t xml:space="preserve">Figure </w:t>
      </w:r>
      <w:r>
        <w:fldChar w:fldCharType="begin"/>
      </w:r>
      <w:r>
        <w:rPr>
          <w:lang w:val="en-US"/>
        </w:rPr>
        <w:instrText xml:space="preserve"> SEQ Figure \* ARABIC </w:instrText>
      </w:r>
      <w:r>
        <w:fldChar w:fldCharType="separate"/>
      </w:r>
      <w:r>
        <w:rPr>
          <w:noProof/>
          <w:lang w:val="en-US"/>
        </w:rPr>
        <w:t>4</w:t>
      </w:r>
      <w:r>
        <w:fldChar w:fldCharType="end"/>
      </w:r>
      <w:r>
        <w:rPr>
          <w:lang w:val="en-US"/>
        </w:rPr>
        <w:t xml:space="preserve"> Potential options for HOs for future production of S-101 ENCs in conjunction with S-57 maintenance/production</w:t>
      </w:r>
    </w:p>
    <w:p w14:paraId="0E77D826" w14:textId="77777777" w:rsidR="00572731" w:rsidRDefault="00572731" w:rsidP="00572731">
      <w:pPr>
        <w:pStyle w:val="Bijschrift"/>
        <w:rPr>
          <w:lang w:val="en-US" w:eastAsia="en-AU"/>
        </w:rPr>
      </w:pPr>
    </w:p>
    <w:p w14:paraId="79513BB8" w14:textId="09F071DA" w:rsidR="00572731" w:rsidRPr="000911DF" w:rsidRDefault="00572731" w:rsidP="000911DF">
      <w:pPr>
        <w:rPr>
          <w:rFonts w:asciiTheme="minorHAnsi" w:eastAsiaTheme="minorEastAsia" w:hAnsiTheme="minorHAnsi" w:cstheme="minorBidi"/>
          <w:szCs w:val="22"/>
          <w:lang w:val="en-US"/>
        </w:rPr>
      </w:pPr>
    </w:p>
    <w:sectPr w:rsidR="00572731" w:rsidRPr="000911DF" w:rsidSect="005D05AC">
      <w:headerReference w:type="even" r:id="rId14"/>
      <w:headerReference w:type="default" r:id="rId15"/>
      <w:footerReference w:type="default" r:id="rId16"/>
      <w:headerReference w:type="first" r:id="rId1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B3998" w14:textId="77777777" w:rsidR="00B37DA5" w:rsidRDefault="00B37DA5" w:rsidP="002B0236">
      <w:r>
        <w:separator/>
      </w:r>
    </w:p>
  </w:endnote>
  <w:endnote w:type="continuationSeparator" w:id="0">
    <w:p w14:paraId="0B34D6F1" w14:textId="77777777" w:rsidR="00B37DA5" w:rsidRDefault="00B37DA5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Voetteks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9803" w14:textId="77777777" w:rsidR="00B37DA5" w:rsidRDefault="00B37DA5" w:rsidP="002B0236">
      <w:r>
        <w:separator/>
      </w:r>
    </w:p>
  </w:footnote>
  <w:footnote w:type="continuationSeparator" w:id="0">
    <w:p w14:paraId="7DE64DFD" w14:textId="77777777" w:rsidR="00B37DA5" w:rsidRDefault="00B37DA5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77777777" w:rsidR="008E7A45" w:rsidRDefault="00000000" w:rsidP="002B0236">
    <w:pPr>
      <w:pStyle w:val="Koptekst"/>
    </w:pPr>
    <w:r>
      <w:rPr>
        <w:noProof/>
      </w:rPr>
      <w:pict w14:anchorId="2FE75E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7B754959" w:rsidR="008E7A45" w:rsidRDefault="00000000" w:rsidP="002B0236">
    <w:pPr>
      <w:pStyle w:val="Koptekst"/>
    </w:pPr>
    <w:r>
      <w:rPr>
        <w:noProof/>
      </w:rPr>
      <w:pict w14:anchorId="2FE75E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73457A">
      <w:rPr>
        <w:noProof/>
      </w:rPr>
      <w:drawing>
        <wp:inline distT="0" distB="0" distL="0" distR="0" wp14:anchorId="2FE75E0C" wp14:editId="66162AD0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77777777" w:rsidR="008E7A45" w:rsidRDefault="00000000" w:rsidP="002B0236">
    <w:pPr>
      <w:pStyle w:val="Koptekst"/>
    </w:pPr>
    <w:r>
      <w:rPr>
        <w:noProof/>
      </w:rPr>
      <w:pict w14:anchorId="2FE75E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1714680"/>
    <w:multiLevelType w:val="hybridMultilevel"/>
    <w:tmpl w:val="4B3A604A"/>
    <w:lvl w:ilvl="0" w:tplc="AD0E7FD4">
      <w:numFmt w:val="bullet"/>
      <w:lvlText w:val="•"/>
      <w:lvlJc w:val="left"/>
      <w:pPr>
        <w:ind w:left="1250" w:hanging="850"/>
      </w:pPr>
      <w:rPr>
        <w:rFonts w:ascii="Malgun Gothic" w:eastAsia="Malgun Gothic" w:hAnsi="Malgun Gothic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B902AAA"/>
    <w:multiLevelType w:val="multilevel"/>
    <w:tmpl w:val="EB2EFFAC"/>
    <w:lvl w:ilvl="0">
      <w:start w:val="1"/>
      <w:numFmt w:val="decimal"/>
      <w:lvlText w:val="%1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72A15"/>
    <w:multiLevelType w:val="hybridMultilevel"/>
    <w:tmpl w:val="4574D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FE72B1"/>
    <w:multiLevelType w:val="hybridMultilevel"/>
    <w:tmpl w:val="0B784058"/>
    <w:lvl w:ilvl="0" w:tplc="DF706584">
      <w:start w:val="1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05EA4"/>
    <w:multiLevelType w:val="hybridMultilevel"/>
    <w:tmpl w:val="8EC2362A"/>
    <w:lvl w:ilvl="0" w:tplc="91808382">
      <w:start w:val="1"/>
      <w:numFmt w:val="bullet"/>
      <w:lvlText w:val="-"/>
      <w:lvlJc w:val="left"/>
      <w:pPr>
        <w:ind w:left="72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B09FF"/>
    <w:multiLevelType w:val="hybridMultilevel"/>
    <w:tmpl w:val="32CE5F9E"/>
    <w:lvl w:ilvl="0" w:tplc="387E96AE">
      <w:start w:val="19"/>
      <w:numFmt w:val="bullet"/>
      <w:lvlText w:val="-"/>
      <w:lvlJc w:val="left"/>
      <w:pPr>
        <w:ind w:left="408" w:hanging="360"/>
      </w:pPr>
      <w:rPr>
        <w:rFonts w:ascii="Calibri" w:eastAsia="Malgun Gothic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8" w:hanging="400"/>
      </w:pPr>
      <w:rPr>
        <w:rFonts w:ascii="Wingdings" w:hAnsi="Wingdings" w:hint="default"/>
      </w:rPr>
    </w:lvl>
  </w:abstractNum>
  <w:abstractNum w:abstractNumId="18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81863937">
    <w:abstractNumId w:val="7"/>
  </w:num>
  <w:num w:numId="2" w16cid:durableId="567611098">
    <w:abstractNumId w:val="13"/>
  </w:num>
  <w:num w:numId="3" w16cid:durableId="494691587">
    <w:abstractNumId w:val="19"/>
  </w:num>
  <w:num w:numId="4" w16cid:durableId="900409151">
    <w:abstractNumId w:val="13"/>
  </w:num>
  <w:num w:numId="5" w16cid:durableId="870731277">
    <w:abstractNumId w:val="13"/>
  </w:num>
  <w:num w:numId="6" w16cid:durableId="1957367115">
    <w:abstractNumId w:val="5"/>
  </w:num>
  <w:num w:numId="7" w16cid:durableId="1860002178">
    <w:abstractNumId w:val="14"/>
  </w:num>
  <w:num w:numId="8" w16cid:durableId="1409032206">
    <w:abstractNumId w:val="9"/>
  </w:num>
  <w:num w:numId="9" w16cid:durableId="1478448332">
    <w:abstractNumId w:val="0"/>
  </w:num>
  <w:num w:numId="10" w16cid:durableId="440613881">
    <w:abstractNumId w:val="4"/>
  </w:num>
  <w:num w:numId="11" w16cid:durableId="1975940572">
    <w:abstractNumId w:val="15"/>
  </w:num>
  <w:num w:numId="12" w16cid:durableId="1785029352">
    <w:abstractNumId w:val="2"/>
  </w:num>
  <w:num w:numId="13" w16cid:durableId="610404614">
    <w:abstractNumId w:val="2"/>
  </w:num>
  <w:num w:numId="14" w16cid:durableId="1188838170">
    <w:abstractNumId w:val="2"/>
  </w:num>
  <w:num w:numId="15" w16cid:durableId="1991133961">
    <w:abstractNumId w:val="2"/>
  </w:num>
  <w:num w:numId="16" w16cid:durableId="1240554464">
    <w:abstractNumId w:val="2"/>
  </w:num>
  <w:num w:numId="17" w16cid:durableId="1426196322">
    <w:abstractNumId w:val="6"/>
  </w:num>
  <w:num w:numId="18" w16cid:durableId="1741979214">
    <w:abstractNumId w:val="18"/>
  </w:num>
  <w:num w:numId="19" w16cid:durableId="394469291">
    <w:abstractNumId w:val="3"/>
  </w:num>
  <w:num w:numId="20" w16cid:durableId="1907110343">
    <w:abstractNumId w:val="16"/>
  </w:num>
  <w:num w:numId="21" w16cid:durableId="1970086008">
    <w:abstractNumId w:val="10"/>
  </w:num>
  <w:num w:numId="22" w16cid:durableId="723874682">
    <w:abstractNumId w:val="6"/>
  </w:num>
  <w:num w:numId="23" w16cid:durableId="860780758">
    <w:abstractNumId w:val="6"/>
  </w:num>
  <w:num w:numId="24" w16cid:durableId="38556670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0767484">
    <w:abstractNumId w:val="2"/>
  </w:num>
  <w:num w:numId="26" w16cid:durableId="1043560559">
    <w:abstractNumId w:val="6"/>
  </w:num>
  <w:num w:numId="27" w16cid:durableId="177301609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6964346">
    <w:abstractNumId w:val="17"/>
  </w:num>
  <w:num w:numId="29" w16cid:durableId="532765578">
    <w:abstractNumId w:val="8"/>
  </w:num>
  <w:num w:numId="30" w16cid:durableId="1991445539">
    <w:abstractNumId w:val="1"/>
  </w:num>
  <w:num w:numId="31" w16cid:durableId="1243181773">
    <w:abstractNumId w:val="11"/>
  </w:num>
  <w:num w:numId="32" w16cid:durableId="10868078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66E0"/>
    <w:rsid w:val="00031A92"/>
    <w:rsid w:val="000324D4"/>
    <w:rsid w:val="000348ED"/>
    <w:rsid w:val="00036801"/>
    <w:rsid w:val="00050DA7"/>
    <w:rsid w:val="000911DF"/>
    <w:rsid w:val="00092956"/>
    <w:rsid w:val="000A5A01"/>
    <w:rsid w:val="000D4740"/>
    <w:rsid w:val="0012077F"/>
    <w:rsid w:val="00135447"/>
    <w:rsid w:val="00140ED9"/>
    <w:rsid w:val="00152273"/>
    <w:rsid w:val="001A09FF"/>
    <w:rsid w:val="001A654A"/>
    <w:rsid w:val="001C74CF"/>
    <w:rsid w:val="00226717"/>
    <w:rsid w:val="002909CD"/>
    <w:rsid w:val="002B0236"/>
    <w:rsid w:val="00300FC7"/>
    <w:rsid w:val="003979AE"/>
    <w:rsid w:val="003D55DD"/>
    <w:rsid w:val="003E1831"/>
    <w:rsid w:val="003E6A0D"/>
    <w:rsid w:val="003F6F40"/>
    <w:rsid w:val="004006BD"/>
    <w:rsid w:val="00424954"/>
    <w:rsid w:val="00431097"/>
    <w:rsid w:val="004C1386"/>
    <w:rsid w:val="004C220D"/>
    <w:rsid w:val="00513180"/>
    <w:rsid w:val="005664A2"/>
    <w:rsid w:val="00572731"/>
    <w:rsid w:val="00576085"/>
    <w:rsid w:val="005961FA"/>
    <w:rsid w:val="0059717A"/>
    <w:rsid w:val="005A2E88"/>
    <w:rsid w:val="005B304E"/>
    <w:rsid w:val="005C33D0"/>
    <w:rsid w:val="005D05AC"/>
    <w:rsid w:val="00630F7F"/>
    <w:rsid w:val="00633FCD"/>
    <w:rsid w:val="006414A6"/>
    <w:rsid w:val="0064435F"/>
    <w:rsid w:val="00671AF5"/>
    <w:rsid w:val="006B4AD8"/>
    <w:rsid w:val="006D470F"/>
    <w:rsid w:val="006E5DD1"/>
    <w:rsid w:val="00727E88"/>
    <w:rsid w:val="0073457A"/>
    <w:rsid w:val="00775878"/>
    <w:rsid w:val="007775C6"/>
    <w:rsid w:val="007840CB"/>
    <w:rsid w:val="007C3A6C"/>
    <w:rsid w:val="0080092C"/>
    <w:rsid w:val="0083521F"/>
    <w:rsid w:val="00861994"/>
    <w:rsid w:val="00872453"/>
    <w:rsid w:val="008A6A33"/>
    <w:rsid w:val="008E7A45"/>
    <w:rsid w:val="008F13DD"/>
    <w:rsid w:val="008F4DC3"/>
    <w:rsid w:val="00902AA4"/>
    <w:rsid w:val="00906239"/>
    <w:rsid w:val="00946F5C"/>
    <w:rsid w:val="00986188"/>
    <w:rsid w:val="009C4420"/>
    <w:rsid w:val="009E436D"/>
    <w:rsid w:val="009F3B6C"/>
    <w:rsid w:val="009F5C36"/>
    <w:rsid w:val="00A247D2"/>
    <w:rsid w:val="00A27F12"/>
    <w:rsid w:val="00A30579"/>
    <w:rsid w:val="00A66BC8"/>
    <w:rsid w:val="00AA2626"/>
    <w:rsid w:val="00AA76C0"/>
    <w:rsid w:val="00B077EC"/>
    <w:rsid w:val="00B15B24"/>
    <w:rsid w:val="00B37DA5"/>
    <w:rsid w:val="00B40E60"/>
    <w:rsid w:val="00B428DA"/>
    <w:rsid w:val="00B8247E"/>
    <w:rsid w:val="00BB5D57"/>
    <w:rsid w:val="00BC2854"/>
    <w:rsid w:val="00BD68FA"/>
    <w:rsid w:val="00BD7CD5"/>
    <w:rsid w:val="00BE36E3"/>
    <w:rsid w:val="00BE56DF"/>
    <w:rsid w:val="00BE78EE"/>
    <w:rsid w:val="00C171E4"/>
    <w:rsid w:val="00C265EE"/>
    <w:rsid w:val="00C442CB"/>
    <w:rsid w:val="00C87505"/>
    <w:rsid w:val="00CA04AF"/>
    <w:rsid w:val="00D245AB"/>
    <w:rsid w:val="00D351D8"/>
    <w:rsid w:val="00D42A58"/>
    <w:rsid w:val="00D95E26"/>
    <w:rsid w:val="00E43EFD"/>
    <w:rsid w:val="00E646B1"/>
    <w:rsid w:val="00E729A7"/>
    <w:rsid w:val="00E93C9B"/>
    <w:rsid w:val="00EE3F2F"/>
    <w:rsid w:val="00EF2C4C"/>
    <w:rsid w:val="00F34422"/>
    <w:rsid w:val="00F73F78"/>
    <w:rsid w:val="00FA5842"/>
    <w:rsid w:val="00FA6769"/>
    <w:rsid w:val="00FD03CA"/>
    <w:rsid w:val="077917D4"/>
    <w:rsid w:val="2AB99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Kop1">
    <w:name w:val="heading 1"/>
    <w:basedOn w:val="Standaard"/>
    <w:next w:val="Standaard"/>
    <w:qFormat/>
    <w:rsid w:val="00AA2626"/>
    <w:pPr>
      <w:keepNext/>
      <w:numPr>
        <w:numId w:val="16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Kop2">
    <w:name w:val="heading 2"/>
    <w:basedOn w:val="Kop1"/>
    <w:next w:val="Standaard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Kop3">
    <w:name w:val="heading 3"/>
    <w:basedOn w:val="Standaard"/>
    <w:next w:val="Standaard"/>
    <w:autoRedefine/>
    <w:qFormat/>
    <w:rsid w:val="00135447"/>
    <w:pPr>
      <w:keepNext/>
      <w:numPr>
        <w:ilvl w:val="2"/>
        <w:numId w:val="16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Kop4">
    <w:name w:val="heading 4"/>
    <w:basedOn w:val="Standaard"/>
    <w:next w:val="Standaard"/>
    <w:rsid w:val="00135447"/>
    <w:pPr>
      <w:keepNext/>
      <w:widowControl w:val="0"/>
      <w:numPr>
        <w:ilvl w:val="3"/>
        <w:numId w:val="16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Kop5">
    <w:name w:val="heading 5"/>
    <w:basedOn w:val="Standaard"/>
    <w:next w:val="Standaard"/>
    <w:rsid w:val="00135447"/>
    <w:pPr>
      <w:numPr>
        <w:ilvl w:val="4"/>
        <w:numId w:val="2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Kop6">
    <w:name w:val="heading 6"/>
    <w:basedOn w:val="Standaard"/>
    <w:next w:val="Standaard"/>
    <w:unhideWhenUsed/>
    <w:qFormat/>
    <w:rsid w:val="005D05AC"/>
    <w:pPr>
      <w:numPr>
        <w:ilvl w:val="5"/>
        <w:numId w:val="16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Kop7">
    <w:name w:val="heading 7"/>
    <w:basedOn w:val="Standaard"/>
    <w:next w:val="Standaard"/>
    <w:rsid w:val="000348ED"/>
    <w:pPr>
      <w:numPr>
        <w:ilvl w:val="6"/>
        <w:numId w:val="2"/>
      </w:numPr>
      <w:spacing w:before="240" w:after="60"/>
      <w:outlineLvl w:val="6"/>
    </w:pPr>
  </w:style>
  <w:style w:type="paragraph" w:styleId="Kop8">
    <w:name w:val="heading 8"/>
    <w:basedOn w:val="Standaard"/>
    <w:next w:val="Standaard"/>
    <w:rsid w:val="000348ED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rsid w:val="000348ED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Plattetekst">
    <w:name w:val="Body Text"/>
    <w:basedOn w:val="Standaard"/>
    <w:link w:val="Platteteks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Kop1"/>
    <w:next w:val="Standaard"/>
    <w:rsid w:val="005D05AC"/>
    <w:pPr>
      <w:numPr>
        <w:numId w:val="7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Standaard"/>
    <w:qFormat/>
    <w:rsid w:val="00AA2626"/>
    <w:pPr>
      <w:numPr>
        <w:numId w:val="8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Standaard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Standaard"/>
    <w:rsid w:val="00E93C9B"/>
    <w:pPr>
      <w:numPr>
        <w:numId w:val="9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Standaard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Standaard"/>
    <w:rsid w:val="00E93C9B"/>
    <w:pPr>
      <w:numPr>
        <w:numId w:val="10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Standaard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Standaard"/>
    <w:next w:val="Standaard"/>
    <w:rsid w:val="005D05AC"/>
    <w:pPr>
      <w:numPr>
        <w:numId w:val="11"/>
      </w:numPr>
      <w:jc w:val="center"/>
    </w:pPr>
    <w:rPr>
      <w:i/>
      <w:lang w:val="fr-FR" w:eastAsia="en-GB"/>
    </w:rPr>
  </w:style>
  <w:style w:type="paragraph" w:styleId="Voettekst">
    <w:name w:val="footer"/>
    <w:basedOn w:val="Standaard"/>
    <w:link w:val="Voettekst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VoettekstChar">
    <w:name w:val="Voettekst Char"/>
    <w:link w:val="Voettekst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Koptekst">
    <w:name w:val="header"/>
    <w:basedOn w:val="Standaard"/>
    <w:link w:val="Koptekst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KoptekstChar">
    <w:name w:val="Koptekst Char"/>
    <w:link w:val="Koptekst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Standaard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Standaard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Standaard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Standaard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Standaard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Standaard"/>
    <w:qFormat/>
    <w:rsid w:val="005D05AC"/>
    <w:pPr>
      <w:spacing w:after="120"/>
      <w:ind w:left="567"/>
    </w:pPr>
    <w:rPr>
      <w:lang w:val="fr-FR" w:eastAsia="en-GB"/>
    </w:rPr>
  </w:style>
  <w:style w:type="character" w:styleId="Paginanumm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Lijstmetafbeeldingen"/>
    <w:rsid w:val="005D05AC"/>
    <w:pPr>
      <w:numPr>
        <w:numId w:val="20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Lijstmetafbeeldingen">
    <w:name w:val="table of figures"/>
    <w:basedOn w:val="Standaard"/>
    <w:next w:val="Standaard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Standaard"/>
    <w:next w:val="Standaard"/>
    <w:rsid w:val="005D05AC"/>
    <w:pPr>
      <w:numPr>
        <w:numId w:val="21"/>
      </w:numPr>
      <w:jc w:val="center"/>
    </w:pPr>
    <w:rPr>
      <w:i/>
      <w:szCs w:val="24"/>
      <w:lang w:val="fr-FR" w:eastAsia="en-GB"/>
    </w:rPr>
  </w:style>
  <w:style w:type="character" w:customStyle="1" w:styleId="PlattetekstChar">
    <w:name w:val="Platte tekst Char"/>
    <w:link w:val="Platteteks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Plattetekstinspringen">
    <w:name w:val="Body Text Indent"/>
    <w:basedOn w:val="Standaard"/>
    <w:link w:val="Plattetekstinspringen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PlattetekstinspringenChar">
    <w:name w:val="Platte tekst inspringen Char"/>
    <w:link w:val="Plattetekstinspringen"/>
    <w:rsid w:val="00002906"/>
    <w:rPr>
      <w:rFonts w:ascii="Arial" w:eastAsia="Calibri" w:hAnsi="Arial" w:cs="Calibri"/>
      <w:sz w:val="22"/>
      <w:szCs w:val="22"/>
    </w:rPr>
  </w:style>
  <w:style w:type="paragraph" w:styleId="Plattetekstinspringen2">
    <w:name w:val="Body Text Indent 2"/>
    <w:basedOn w:val="Standaard"/>
    <w:link w:val="Plattetekstinspringen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Plattetekstinspringen2Char">
    <w:name w:val="Platte tekst inspringen 2 Char"/>
    <w:link w:val="Plattetekstinspringen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Tabelraster">
    <w:name w:val="Table Grid"/>
    <w:basedOn w:val="Standaardtabel"/>
    <w:rsid w:val="003E6A0D"/>
    <w:rPr>
      <w:rFonts w:asciiTheme="minorHAnsi" w:eastAsiaTheme="minorEastAsia" w:hAnsiTheme="minorHAnsi" w:cstheme="minorBidi"/>
      <w:kern w:val="2"/>
      <w:sz w:val="22"/>
      <w:szCs w:val="22"/>
      <w:lang w:val="en-GB" w:eastAsia="ko-K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572731"/>
    <w:pPr>
      <w:tabs>
        <w:tab w:val="clear" w:pos="851"/>
      </w:tabs>
      <w:spacing w:after="200"/>
    </w:pPr>
    <w:rPr>
      <w:rFonts w:asciiTheme="minorHAnsi" w:eastAsia="MS Mincho" w:hAnsiTheme="minorHAnsi" w:cstheme="minorBidi"/>
      <w:i/>
      <w:iCs/>
      <w:color w:val="44546A" w:themeColor="text2"/>
      <w:sz w:val="18"/>
      <w:szCs w:val="18"/>
      <w:lang w:val="fr-FR"/>
    </w:rPr>
  </w:style>
  <w:style w:type="paragraph" w:customStyle="1" w:styleId="TableParagraph">
    <w:name w:val="Table Paragraph"/>
    <w:basedOn w:val="Standaard"/>
    <w:uiPriority w:val="1"/>
    <w:qFormat/>
    <w:rsid w:val="00572731"/>
    <w:pPr>
      <w:widowControl w:val="0"/>
      <w:tabs>
        <w:tab w:val="clear" w:pos="851"/>
      </w:tabs>
    </w:pPr>
    <w:rPr>
      <w:rFonts w:eastAsia="Calibri"/>
      <w:szCs w:val="22"/>
      <w:lang w:val="en-US"/>
    </w:rPr>
  </w:style>
  <w:style w:type="table" w:customStyle="1" w:styleId="TableNormal1">
    <w:name w:val="Table Normal1"/>
    <w:uiPriority w:val="2"/>
    <w:semiHidden/>
    <w:qFormat/>
    <w:rsid w:val="0057273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Standaardalinea-lettertype"/>
    <w:rsid w:val="000911D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1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iho.int/uploads/user/Inter-Regional%20Coordination/RHC/USCHC/USCHC45/USCHC45_2022_13%20Canada%20e-Navigation%20Status%20-CCG%20report.pdf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5370A-87DF-46E3-A3DF-A133CE457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56AD8-0664-4D68-8FA9-D55FE72C72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F46329-9369-44F0-9D17-2C8F459982C8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6</Pages>
  <Words>953</Words>
  <Characters>5436</Characters>
  <Application>Microsoft Office Word</Application>
  <DocSecurity>0</DocSecurity>
  <Lines>45</Lines>
  <Paragraphs>12</Paragraphs>
  <ScaleCrop>false</ScaleCrop>
  <Company>DFO-MPO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Peter H</cp:lastModifiedBy>
  <cp:revision>10</cp:revision>
  <cp:lastPrinted>2006-10-19T11:49:00Z</cp:lastPrinted>
  <dcterms:created xsi:type="dcterms:W3CDTF">2023-10-26T11:45:00Z</dcterms:created>
  <dcterms:modified xsi:type="dcterms:W3CDTF">2023-10-26T15:01:00Z</dcterms:modified>
</cp:coreProperties>
</file>